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902BA" w14:textId="3E48F31A" w:rsidR="00105349" w:rsidRPr="00105349" w:rsidRDefault="00105349" w:rsidP="00105349">
      <w:pPr>
        <w:rPr>
          <w:b/>
          <w:sz w:val="12"/>
          <w:szCs w:val="10"/>
        </w:rPr>
      </w:pPr>
      <w:r w:rsidRPr="0063153A">
        <w:rPr>
          <w:noProof/>
          <w:sz w:val="24"/>
        </w:rPr>
        <w:drawing>
          <wp:anchor distT="0" distB="0" distL="114300" distR="114300" simplePos="0" relativeHeight="251659264" behindDoc="1" locked="0" layoutInCell="1" allowOverlap="1" wp14:anchorId="1680475A" wp14:editId="10964CE1">
            <wp:simplePos x="0" y="0"/>
            <wp:positionH relativeFrom="page">
              <wp:posOffset>5848350</wp:posOffset>
            </wp:positionH>
            <wp:positionV relativeFrom="margin">
              <wp:align>top</wp:align>
            </wp:positionV>
            <wp:extent cx="1468120" cy="1438275"/>
            <wp:effectExtent l="0" t="0" r="0" b="9525"/>
            <wp:wrapTight wrapText="bothSides">
              <wp:wrapPolygon edited="0">
                <wp:start x="0" y="0"/>
                <wp:lineTo x="0" y="21457"/>
                <wp:lineTo x="21301" y="21457"/>
                <wp:lineTo x="213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812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D243A" w14:textId="6197EE2C" w:rsidR="00105349" w:rsidRPr="00105349" w:rsidRDefault="00105349" w:rsidP="00105349">
      <w:pPr>
        <w:rPr>
          <w:b/>
          <w:sz w:val="36"/>
          <w:szCs w:val="32"/>
        </w:rPr>
      </w:pPr>
      <w:r w:rsidRPr="0063153A">
        <w:rPr>
          <w:b/>
          <w:sz w:val="36"/>
          <w:szCs w:val="32"/>
        </w:rPr>
        <w:t>Body Corporate Regulation – Summary of Key Changes</w:t>
      </w:r>
      <w:r>
        <w:t xml:space="preserve"> </w:t>
      </w:r>
    </w:p>
    <w:p w14:paraId="5025B3A5" w14:textId="1397B6B5" w:rsidR="005E09B6" w:rsidRPr="00C2308A" w:rsidRDefault="00105349" w:rsidP="00105349">
      <w:pPr>
        <w:rPr>
          <w:sz w:val="24"/>
          <w:szCs w:val="24"/>
        </w:rPr>
      </w:pPr>
      <w:r w:rsidRPr="00C2308A">
        <w:rPr>
          <w:sz w:val="24"/>
          <w:szCs w:val="24"/>
        </w:rPr>
        <w:t>The following changes to the Regulation modules become effective March 1, 2021.</w:t>
      </w:r>
    </w:p>
    <w:p w14:paraId="1B5E0FAD" w14:textId="5953B3F4" w:rsidR="00105349" w:rsidRPr="00C2308A" w:rsidRDefault="00105349" w:rsidP="00105349">
      <w:pPr>
        <w:rPr>
          <w:b/>
          <w:bCs/>
          <w:sz w:val="24"/>
          <w:szCs w:val="24"/>
        </w:rPr>
      </w:pPr>
      <w:r w:rsidRPr="00C2308A">
        <w:rPr>
          <w:b/>
          <w:bCs/>
          <w:sz w:val="24"/>
          <w:szCs w:val="24"/>
        </w:rPr>
        <w:t>Key Terms:</w:t>
      </w:r>
      <w:r w:rsidRPr="00C2308A">
        <w:rPr>
          <w:sz w:val="24"/>
          <w:szCs w:val="24"/>
        </w:rPr>
        <w:t xml:space="preserve"> Standard Module </w:t>
      </w:r>
      <w:r w:rsidRPr="00C2308A">
        <w:rPr>
          <w:b/>
          <w:bCs/>
          <w:sz w:val="24"/>
          <w:szCs w:val="24"/>
        </w:rPr>
        <w:t>(SM)</w:t>
      </w:r>
      <w:r w:rsidRPr="00C2308A">
        <w:rPr>
          <w:sz w:val="24"/>
          <w:szCs w:val="24"/>
        </w:rPr>
        <w:t xml:space="preserve"> | Accommodation Module </w:t>
      </w:r>
      <w:r w:rsidRPr="00C2308A">
        <w:rPr>
          <w:b/>
          <w:bCs/>
          <w:sz w:val="24"/>
          <w:szCs w:val="24"/>
        </w:rPr>
        <w:t>(AM)</w:t>
      </w:r>
      <w:r w:rsidRPr="00C2308A">
        <w:rPr>
          <w:sz w:val="24"/>
          <w:szCs w:val="24"/>
        </w:rPr>
        <w:t xml:space="preserve"> | Commercial Module </w:t>
      </w:r>
      <w:r w:rsidRPr="00C2308A">
        <w:rPr>
          <w:b/>
          <w:bCs/>
          <w:sz w:val="24"/>
          <w:szCs w:val="24"/>
        </w:rPr>
        <w:t xml:space="preserve">(CM) </w:t>
      </w:r>
      <w:r w:rsidRPr="00C2308A">
        <w:rPr>
          <w:sz w:val="24"/>
          <w:szCs w:val="24"/>
        </w:rPr>
        <w:t xml:space="preserve">| Small Scheme Module </w:t>
      </w:r>
      <w:r w:rsidRPr="00C2308A">
        <w:rPr>
          <w:b/>
          <w:bCs/>
          <w:sz w:val="24"/>
          <w:szCs w:val="24"/>
        </w:rPr>
        <w:t>(SSM)</w:t>
      </w:r>
    </w:p>
    <w:p w14:paraId="7B2B71ED" w14:textId="77777777" w:rsidR="00C2308A" w:rsidRDefault="00C2308A" w:rsidP="00105349">
      <w:pPr>
        <w:rPr>
          <w:b/>
          <w:bCs/>
        </w:rPr>
      </w:pPr>
    </w:p>
    <w:p w14:paraId="607013C8" w14:textId="77777777" w:rsidR="00105349" w:rsidRPr="00B21661" w:rsidRDefault="00105349" w:rsidP="00105349">
      <w:pPr>
        <w:rPr>
          <w:sz w:val="2"/>
          <w:szCs w:val="2"/>
        </w:rPr>
      </w:pPr>
    </w:p>
    <w:tbl>
      <w:tblPr>
        <w:tblStyle w:val="TableGrid"/>
        <w:tblW w:w="10773" w:type="dxa"/>
        <w:tblLook w:val="04A0" w:firstRow="1" w:lastRow="0" w:firstColumn="1" w:lastColumn="0" w:noHBand="0" w:noVBand="1"/>
      </w:tblPr>
      <w:tblGrid>
        <w:gridCol w:w="2977"/>
        <w:gridCol w:w="5954"/>
        <w:gridCol w:w="1842"/>
      </w:tblGrid>
      <w:tr w:rsidR="00105349" w:rsidRPr="00B21661" w14:paraId="4A1EAD9B" w14:textId="77777777" w:rsidTr="00C2308A">
        <w:trPr>
          <w:trHeight w:val="257"/>
        </w:trPr>
        <w:tc>
          <w:tcPr>
            <w:tcW w:w="2977" w:type="dxa"/>
            <w:tcBorders>
              <w:top w:val="nil"/>
              <w:left w:val="nil"/>
              <w:bottom w:val="single" w:sz="4" w:space="0" w:color="auto"/>
              <w:right w:val="nil"/>
            </w:tcBorders>
            <w:vAlign w:val="center"/>
          </w:tcPr>
          <w:p w14:paraId="46B3BA2B" w14:textId="0ECC5978" w:rsidR="00105349" w:rsidRPr="00C2308A" w:rsidRDefault="00105349" w:rsidP="00105349">
            <w:pPr>
              <w:rPr>
                <w:sz w:val="36"/>
                <w:szCs w:val="36"/>
                <w:lang w:val="en-AU"/>
              </w:rPr>
            </w:pPr>
            <w:r w:rsidRPr="00C2308A">
              <w:rPr>
                <w:b/>
                <w:sz w:val="36"/>
                <w:szCs w:val="36"/>
                <w:lang w:val="en-AU"/>
              </w:rPr>
              <w:t>General Meetings</w:t>
            </w:r>
          </w:p>
        </w:tc>
        <w:tc>
          <w:tcPr>
            <w:tcW w:w="5954" w:type="dxa"/>
            <w:tcBorders>
              <w:top w:val="nil"/>
              <w:left w:val="nil"/>
              <w:right w:val="single" w:sz="4" w:space="0" w:color="auto"/>
            </w:tcBorders>
          </w:tcPr>
          <w:p w14:paraId="5FA339B0" w14:textId="77777777" w:rsidR="00105349" w:rsidRPr="00105349" w:rsidRDefault="00105349" w:rsidP="00906618">
            <w:pPr>
              <w:rPr>
                <w:b/>
                <w:bCs/>
              </w:rPr>
            </w:pPr>
          </w:p>
        </w:tc>
        <w:tc>
          <w:tcPr>
            <w:tcW w:w="1842" w:type="dxa"/>
            <w:tcBorders>
              <w:left w:val="single" w:sz="4" w:space="0" w:color="auto"/>
            </w:tcBorders>
            <w:vAlign w:val="center"/>
          </w:tcPr>
          <w:p w14:paraId="77F9EDA4" w14:textId="4428787D" w:rsidR="00105349" w:rsidRPr="00105349" w:rsidRDefault="00105349" w:rsidP="00906618">
            <w:pPr>
              <w:rPr>
                <w:b/>
                <w:bCs/>
                <w:lang w:val="en-AU"/>
              </w:rPr>
            </w:pPr>
            <w:r w:rsidRPr="00C2308A">
              <w:rPr>
                <w:b/>
                <w:bCs/>
                <w:sz w:val="28"/>
                <w:szCs w:val="28"/>
                <w:lang w:val="en-AU"/>
              </w:rPr>
              <w:t>Module</w:t>
            </w:r>
          </w:p>
        </w:tc>
      </w:tr>
      <w:tr w:rsidR="00105349" w:rsidRPr="00105349" w14:paraId="096F2186" w14:textId="77777777" w:rsidTr="00C2308A">
        <w:trPr>
          <w:trHeight w:val="690"/>
        </w:trPr>
        <w:tc>
          <w:tcPr>
            <w:tcW w:w="2977" w:type="dxa"/>
            <w:tcBorders>
              <w:top w:val="single" w:sz="4" w:space="0" w:color="auto"/>
            </w:tcBorders>
            <w:vAlign w:val="center"/>
          </w:tcPr>
          <w:p w14:paraId="15F6E50F" w14:textId="3A724771" w:rsidR="00105349" w:rsidRPr="00105349" w:rsidRDefault="00105349" w:rsidP="00906618">
            <w:pPr>
              <w:rPr>
                <w:sz w:val="28"/>
                <w:szCs w:val="28"/>
                <w:lang w:val="en-AU"/>
              </w:rPr>
            </w:pPr>
            <w:r w:rsidRPr="00105349">
              <w:rPr>
                <w:b/>
                <w:sz w:val="28"/>
                <w:szCs w:val="28"/>
                <w:lang w:val="en-AU"/>
              </w:rPr>
              <w:t>Electronic Voting</w:t>
            </w:r>
          </w:p>
        </w:tc>
        <w:tc>
          <w:tcPr>
            <w:tcW w:w="5954" w:type="dxa"/>
          </w:tcPr>
          <w:p w14:paraId="4961B089" w14:textId="77777777" w:rsidR="00105349" w:rsidRPr="00105349" w:rsidRDefault="00105349" w:rsidP="00906618">
            <w:pPr>
              <w:rPr>
                <w:sz w:val="28"/>
                <w:szCs w:val="28"/>
                <w:lang w:val="en-AU"/>
              </w:rPr>
            </w:pPr>
          </w:p>
          <w:p w14:paraId="1D0684C1" w14:textId="320A1F5B" w:rsidR="00105349" w:rsidRPr="00105349" w:rsidRDefault="00105349" w:rsidP="00906618">
            <w:pPr>
              <w:rPr>
                <w:sz w:val="28"/>
                <w:szCs w:val="28"/>
                <w:lang w:val="en-AU"/>
              </w:rPr>
            </w:pPr>
            <w:r w:rsidRPr="00105349">
              <w:rPr>
                <w:sz w:val="28"/>
                <w:szCs w:val="28"/>
                <w:lang w:val="en-AU"/>
              </w:rPr>
              <w:t>Meetings and ballots (including secret ballots) can now be held electronically.</w:t>
            </w:r>
          </w:p>
          <w:p w14:paraId="69C3FDF9" w14:textId="72E02C0B" w:rsidR="00105349" w:rsidRPr="00105349" w:rsidRDefault="00105349" w:rsidP="00906618">
            <w:pPr>
              <w:rPr>
                <w:sz w:val="28"/>
                <w:szCs w:val="28"/>
              </w:rPr>
            </w:pPr>
          </w:p>
        </w:tc>
        <w:tc>
          <w:tcPr>
            <w:tcW w:w="1842" w:type="dxa"/>
            <w:vAlign w:val="center"/>
          </w:tcPr>
          <w:p w14:paraId="3BBE2A72" w14:textId="13E8EC75" w:rsidR="00105349" w:rsidRPr="00105349" w:rsidRDefault="00105349" w:rsidP="00906618">
            <w:pPr>
              <w:rPr>
                <w:sz w:val="28"/>
                <w:szCs w:val="28"/>
                <w:lang w:val="en-AU"/>
              </w:rPr>
            </w:pPr>
            <w:r w:rsidRPr="00105349">
              <w:rPr>
                <w:sz w:val="28"/>
                <w:szCs w:val="28"/>
                <w:lang w:val="en-AU"/>
              </w:rPr>
              <w:t>SM, AM, CM, SSM</w:t>
            </w:r>
          </w:p>
        </w:tc>
      </w:tr>
      <w:tr w:rsidR="00105349" w:rsidRPr="00105349" w14:paraId="53CD2F4A" w14:textId="77777777" w:rsidTr="00C2308A">
        <w:trPr>
          <w:trHeight w:val="699"/>
        </w:trPr>
        <w:tc>
          <w:tcPr>
            <w:tcW w:w="2977" w:type="dxa"/>
            <w:vAlign w:val="center"/>
          </w:tcPr>
          <w:p w14:paraId="0765B773" w14:textId="0785E0C2" w:rsidR="00105349" w:rsidRPr="00105349" w:rsidRDefault="00105349" w:rsidP="00906618">
            <w:pPr>
              <w:rPr>
                <w:sz w:val="28"/>
                <w:szCs w:val="28"/>
                <w:lang w:val="en-AU"/>
              </w:rPr>
            </w:pPr>
            <w:r w:rsidRPr="00105349">
              <w:rPr>
                <w:b/>
                <w:sz w:val="28"/>
                <w:szCs w:val="28"/>
                <w:lang w:val="en-AU"/>
              </w:rPr>
              <w:t>Quorums</w:t>
            </w:r>
            <w:r w:rsidRPr="00105349">
              <w:rPr>
                <w:sz w:val="28"/>
                <w:szCs w:val="28"/>
                <w:lang w:val="en-AU"/>
              </w:rPr>
              <w:t xml:space="preserve"> </w:t>
            </w:r>
          </w:p>
        </w:tc>
        <w:tc>
          <w:tcPr>
            <w:tcW w:w="5954" w:type="dxa"/>
          </w:tcPr>
          <w:p w14:paraId="7A783ADF" w14:textId="77777777" w:rsidR="00105349" w:rsidRPr="00105349" w:rsidRDefault="00105349" w:rsidP="00906618">
            <w:pPr>
              <w:rPr>
                <w:sz w:val="28"/>
                <w:szCs w:val="28"/>
                <w:lang w:val="en-AU"/>
              </w:rPr>
            </w:pPr>
          </w:p>
          <w:p w14:paraId="3EC3BEA1" w14:textId="43BE66BD" w:rsidR="00105349" w:rsidRPr="00105349" w:rsidRDefault="00105349" w:rsidP="00906618">
            <w:pPr>
              <w:rPr>
                <w:sz w:val="28"/>
                <w:szCs w:val="28"/>
                <w:lang w:val="en-AU"/>
              </w:rPr>
            </w:pPr>
            <w:r w:rsidRPr="00105349">
              <w:rPr>
                <w:sz w:val="28"/>
                <w:szCs w:val="28"/>
                <w:lang w:val="en-AU"/>
              </w:rPr>
              <w:t>A motion can be passed to change the quorum for general meetings to 10 per cent of voters.</w:t>
            </w:r>
          </w:p>
          <w:p w14:paraId="700CA733" w14:textId="1E1FA32D" w:rsidR="00105349" w:rsidRPr="00105349" w:rsidRDefault="00105349" w:rsidP="00906618">
            <w:pPr>
              <w:rPr>
                <w:sz w:val="28"/>
                <w:szCs w:val="28"/>
              </w:rPr>
            </w:pPr>
          </w:p>
        </w:tc>
        <w:tc>
          <w:tcPr>
            <w:tcW w:w="1842" w:type="dxa"/>
            <w:vAlign w:val="center"/>
          </w:tcPr>
          <w:p w14:paraId="643B58DE" w14:textId="1EF31F83" w:rsidR="00105349" w:rsidRPr="00105349" w:rsidRDefault="00105349" w:rsidP="00906618">
            <w:pPr>
              <w:rPr>
                <w:sz w:val="28"/>
                <w:szCs w:val="28"/>
                <w:lang w:val="en-AU"/>
              </w:rPr>
            </w:pPr>
            <w:r w:rsidRPr="00105349">
              <w:rPr>
                <w:sz w:val="28"/>
                <w:szCs w:val="28"/>
                <w:lang w:val="en-AU"/>
              </w:rPr>
              <w:t>SM, AM, CM, SSM</w:t>
            </w:r>
          </w:p>
        </w:tc>
      </w:tr>
      <w:tr w:rsidR="00105349" w:rsidRPr="00105349" w14:paraId="5B730728" w14:textId="77777777" w:rsidTr="00C2308A">
        <w:trPr>
          <w:trHeight w:val="980"/>
        </w:trPr>
        <w:tc>
          <w:tcPr>
            <w:tcW w:w="2977" w:type="dxa"/>
            <w:vAlign w:val="center"/>
          </w:tcPr>
          <w:p w14:paraId="019C0047" w14:textId="1712534A" w:rsidR="00105349" w:rsidRPr="00105349" w:rsidRDefault="00105349" w:rsidP="00906618">
            <w:pPr>
              <w:rPr>
                <w:sz w:val="28"/>
                <w:szCs w:val="28"/>
                <w:lang w:val="en-AU"/>
              </w:rPr>
            </w:pPr>
            <w:r w:rsidRPr="00105349">
              <w:rPr>
                <w:b/>
                <w:sz w:val="28"/>
                <w:szCs w:val="28"/>
                <w:lang w:val="en-AU"/>
              </w:rPr>
              <w:t>Power of Attorneys</w:t>
            </w:r>
            <w:r w:rsidRPr="00105349">
              <w:rPr>
                <w:sz w:val="28"/>
                <w:szCs w:val="28"/>
                <w:lang w:val="en-AU"/>
              </w:rPr>
              <w:t xml:space="preserve"> </w:t>
            </w:r>
          </w:p>
        </w:tc>
        <w:tc>
          <w:tcPr>
            <w:tcW w:w="5954" w:type="dxa"/>
          </w:tcPr>
          <w:p w14:paraId="0E4B0CE8" w14:textId="77777777" w:rsidR="00105349" w:rsidRPr="00105349" w:rsidRDefault="00105349" w:rsidP="00906618">
            <w:pPr>
              <w:rPr>
                <w:sz w:val="28"/>
                <w:szCs w:val="28"/>
                <w:lang w:val="en-AU"/>
              </w:rPr>
            </w:pPr>
          </w:p>
          <w:p w14:paraId="7F8F3FB9" w14:textId="71777186" w:rsidR="00105349" w:rsidRPr="00105349" w:rsidRDefault="00105349" w:rsidP="00906618">
            <w:pPr>
              <w:rPr>
                <w:sz w:val="28"/>
                <w:szCs w:val="28"/>
                <w:lang w:val="en-AU"/>
              </w:rPr>
            </w:pPr>
            <w:r w:rsidRPr="00105349">
              <w:rPr>
                <w:sz w:val="28"/>
                <w:szCs w:val="28"/>
                <w:lang w:val="en-AU"/>
              </w:rPr>
              <w:t>An owner may use only one power of attorney vote in addition to their own vote. An exception is for power of attorney votes for family members or owners of multiple lots.</w:t>
            </w:r>
          </w:p>
          <w:p w14:paraId="693B0D22" w14:textId="7674F2B0" w:rsidR="00105349" w:rsidRPr="00105349" w:rsidRDefault="00105349" w:rsidP="00906618">
            <w:pPr>
              <w:rPr>
                <w:sz w:val="28"/>
                <w:szCs w:val="28"/>
              </w:rPr>
            </w:pPr>
          </w:p>
        </w:tc>
        <w:tc>
          <w:tcPr>
            <w:tcW w:w="1842" w:type="dxa"/>
            <w:vAlign w:val="center"/>
          </w:tcPr>
          <w:p w14:paraId="58C367D4" w14:textId="30773BBA" w:rsidR="00105349" w:rsidRPr="00105349" w:rsidRDefault="00105349" w:rsidP="00906618">
            <w:pPr>
              <w:rPr>
                <w:sz w:val="28"/>
                <w:szCs w:val="28"/>
                <w:lang w:val="en-AU"/>
              </w:rPr>
            </w:pPr>
            <w:r w:rsidRPr="00105349">
              <w:rPr>
                <w:sz w:val="28"/>
                <w:szCs w:val="28"/>
                <w:lang w:val="en-AU"/>
              </w:rPr>
              <w:t>SM, AM, CM, SSM</w:t>
            </w:r>
          </w:p>
        </w:tc>
      </w:tr>
      <w:tr w:rsidR="00105349" w:rsidRPr="00105349" w14:paraId="53FA86D9" w14:textId="77777777" w:rsidTr="00C2308A">
        <w:trPr>
          <w:trHeight w:val="732"/>
        </w:trPr>
        <w:tc>
          <w:tcPr>
            <w:tcW w:w="2977" w:type="dxa"/>
            <w:vAlign w:val="center"/>
          </w:tcPr>
          <w:p w14:paraId="66E67859" w14:textId="6EF664CD" w:rsidR="00105349" w:rsidRPr="00105349" w:rsidRDefault="00105349" w:rsidP="00906618">
            <w:pPr>
              <w:rPr>
                <w:sz w:val="28"/>
                <w:szCs w:val="28"/>
                <w:lang w:val="en-AU"/>
              </w:rPr>
            </w:pPr>
            <w:r w:rsidRPr="00105349">
              <w:rPr>
                <w:b/>
                <w:sz w:val="28"/>
                <w:szCs w:val="28"/>
                <w:lang w:val="en-AU"/>
              </w:rPr>
              <w:t>Submission of Documents</w:t>
            </w:r>
            <w:r w:rsidRPr="00105349">
              <w:rPr>
                <w:sz w:val="28"/>
                <w:szCs w:val="28"/>
                <w:lang w:val="en-AU"/>
              </w:rPr>
              <w:t xml:space="preserve"> </w:t>
            </w:r>
          </w:p>
        </w:tc>
        <w:tc>
          <w:tcPr>
            <w:tcW w:w="5954" w:type="dxa"/>
          </w:tcPr>
          <w:p w14:paraId="1B730FCF" w14:textId="77777777" w:rsidR="00105349" w:rsidRPr="00105349" w:rsidRDefault="00105349" w:rsidP="00906618">
            <w:pPr>
              <w:rPr>
                <w:sz w:val="28"/>
                <w:szCs w:val="28"/>
                <w:lang w:val="en-AU"/>
              </w:rPr>
            </w:pPr>
          </w:p>
          <w:p w14:paraId="6BB2D869" w14:textId="703AD10F" w:rsidR="00105349" w:rsidRPr="00105349" w:rsidRDefault="00105349" w:rsidP="00906618">
            <w:pPr>
              <w:rPr>
                <w:sz w:val="28"/>
                <w:szCs w:val="28"/>
                <w:lang w:val="en-AU"/>
              </w:rPr>
            </w:pPr>
            <w:r w:rsidRPr="00105349">
              <w:rPr>
                <w:sz w:val="28"/>
                <w:szCs w:val="28"/>
                <w:lang w:val="en-AU"/>
              </w:rPr>
              <w:t>Documents that can only be handed to the Secretary can now legally be handed to the body corporate manager.</w:t>
            </w:r>
          </w:p>
          <w:p w14:paraId="09553C1E" w14:textId="358C8ABA" w:rsidR="00105349" w:rsidRPr="00105349" w:rsidRDefault="00105349" w:rsidP="00906618">
            <w:pPr>
              <w:rPr>
                <w:sz w:val="28"/>
                <w:szCs w:val="28"/>
              </w:rPr>
            </w:pPr>
          </w:p>
        </w:tc>
        <w:tc>
          <w:tcPr>
            <w:tcW w:w="1842" w:type="dxa"/>
            <w:vAlign w:val="center"/>
          </w:tcPr>
          <w:p w14:paraId="32A3E0F9" w14:textId="1973C4E5" w:rsidR="00105349" w:rsidRPr="00105349" w:rsidRDefault="00105349" w:rsidP="00906618">
            <w:pPr>
              <w:rPr>
                <w:sz w:val="28"/>
                <w:szCs w:val="28"/>
                <w:lang w:val="en-AU"/>
              </w:rPr>
            </w:pPr>
            <w:r w:rsidRPr="00105349">
              <w:rPr>
                <w:sz w:val="28"/>
                <w:szCs w:val="28"/>
                <w:lang w:val="en-AU"/>
              </w:rPr>
              <w:t>SM, AM, CM, SSM</w:t>
            </w:r>
          </w:p>
        </w:tc>
      </w:tr>
      <w:tr w:rsidR="00105349" w:rsidRPr="00105349" w14:paraId="2B0AE5C2" w14:textId="77777777" w:rsidTr="00C2308A">
        <w:trPr>
          <w:trHeight w:val="948"/>
        </w:trPr>
        <w:tc>
          <w:tcPr>
            <w:tcW w:w="2977" w:type="dxa"/>
            <w:vAlign w:val="center"/>
          </w:tcPr>
          <w:p w14:paraId="4D141D3B" w14:textId="684818BC" w:rsidR="00105349" w:rsidRPr="00105349" w:rsidRDefault="00105349" w:rsidP="00906618">
            <w:pPr>
              <w:rPr>
                <w:sz w:val="28"/>
                <w:szCs w:val="28"/>
                <w:lang w:val="en-AU"/>
              </w:rPr>
            </w:pPr>
            <w:r w:rsidRPr="00105349">
              <w:rPr>
                <w:b/>
                <w:sz w:val="28"/>
                <w:szCs w:val="28"/>
                <w:lang w:val="en-AU"/>
              </w:rPr>
              <w:t>Same Issue Motions</w:t>
            </w:r>
            <w:r w:rsidRPr="00105349">
              <w:rPr>
                <w:sz w:val="28"/>
                <w:szCs w:val="28"/>
                <w:lang w:val="en-AU"/>
              </w:rPr>
              <w:t xml:space="preserve"> </w:t>
            </w:r>
          </w:p>
        </w:tc>
        <w:tc>
          <w:tcPr>
            <w:tcW w:w="5954" w:type="dxa"/>
          </w:tcPr>
          <w:p w14:paraId="26F366D5" w14:textId="77777777" w:rsidR="00105349" w:rsidRPr="00105349" w:rsidRDefault="00105349" w:rsidP="00906618">
            <w:pPr>
              <w:rPr>
                <w:sz w:val="28"/>
                <w:szCs w:val="28"/>
                <w:lang w:val="en-AU"/>
              </w:rPr>
            </w:pPr>
          </w:p>
          <w:p w14:paraId="7695CBD6" w14:textId="28322648" w:rsidR="00105349" w:rsidRPr="00105349" w:rsidRDefault="00105349" w:rsidP="00906618">
            <w:pPr>
              <w:rPr>
                <w:sz w:val="28"/>
                <w:szCs w:val="28"/>
                <w:lang w:val="en-AU"/>
              </w:rPr>
            </w:pPr>
            <w:r w:rsidRPr="00105349">
              <w:rPr>
                <w:sz w:val="28"/>
                <w:szCs w:val="28"/>
                <w:lang w:val="en-AU"/>
              </w:rPr>
              <w:t>These are now classified as ‘Grouped Motions’ for motions covering similar issues. Votes can be cast on all grouped motions together.</w:t>
            </w:r>
          </w:p>
          <w:p w14:paraId="03D0511C" w14:textId="472521FD" w:rsidR="00105349" w:rsidRPr="00105349" w:rsidRDefault="00105349" w:rsidP="00906618">
            <w:pPr>
              <w:rPr>
                <w:sz w:val="28"/>
                <w:szCs w:val="28"/>
              </w:rPr>
            </w:pPr>
          </w:p>
        </w:tc>
        <w:tc>
          <w:tcPr>
            <w:tcW w:w="1842" w:type="dxa"/>
            <w:vAlign w:val="center"/>
          </w:tcPr>
          <w:p w14:paraId="17B23794" w14:textId="25F003D9" w:rsidR="00105349" w:rsidRPr="00105349" w:rsidRDefault="00105349" w:rsidP="00906618">
            <w:pPr>
              <w:rPr>
                <w:sz w:val="28"/>
                <w:szCs w:val="28"/>
                <w:lang w:val="en-AU"/>
              </w:rPr>
            </w:pPr>
            <w:r w:rsidRPr="00105349">
              <w:rPr>
                <w:sz w:val="28"/>
                <w:szCs w:val="28"/>
                <w:lang w:val="en-AU"/>
              </w:rPr>
              <w:t>SM, AM, CM, SSM</w:t>
            </w:r>
          </w:p>
        </w:tc>
      </w:tr>
      <w:tr w:rsidR="00105349" w:rsidRPr="00105349" w14:paraId="3B69C290" w14:textId="77777777" w:rsidTr="00C2308A">
        <w:trPr>
          <w:trHeight w:val="692"/>
        </w:trPr>
        <w:tc>
          <w:tcPr>
            <w:tcW w:w="2977" w:type="dxa"/>
            <w:vAlign w:val="center"/>
          </w:tcPr>
          <w:p w14:paraId="5C1D17C5" w14:textId="581DA31D" w:rsidR="00105349" w:rsidRPr="00105349" w:rsidRDefault="00105349" w:rsidP="00906618">
            <w:pPr>
              <w:rPr>
                <w:b/>
                <w:sz w:val="28"/>
                <w:szCs w:val="28"/>
                <w:lang w:val="en-AU"/>
              </w:rPr>
            </w:pPr>
            <w:r w:rsidRPr="00105349">
              <w:rPr>
                <w:b/>
                <w:sz w:val="28"/>
                <w:szCs w:val="28"/>
                <w:lang w:val="en-AU"/>
              </w:rPr>
              <w:t xml:space="preserve">Motions Out of Order </w:t>
            </w:r>
          </w:p>
        </w:tc>
        <w:tc>
          <w:tcPr>
            <w:tcW w:w="5954" w:type="dxa"/>
          </w:tcPr>
          <w:p w14:paraId="7F67AF60" w14:textId="77777777" w:rsidR="00105349" w:rsidRPr="00105349" w:rsidRDefault="00105349" w:rsidP="00906618">
            <w:pPr>
              <w:rPr>
                <w:sz w:val="28"/>
                <w:szCs w:val="28"/>
                <w:lang w:val="en-AU"/>
              </w:rPr>
            </w:pPr>
          </w:p>
          <w:p w14:paraId="50ABDB97" w14:textId="62BCC894" w:rsidR="00105349" w:rsidRPr="00105349" w:rsidRDefault="00105349" w:rsidP="00906618">
            <w:pPr>
              <w:rPr>
                <w:sz w:val="28"/>
                <w:szCs w:val="28"/>
                <w:lang w:val="en-AU"/>
              </w:rPr>
            </w:pPr>
            <w:r w:rsidRPr="00105349">
              <w:rPr>
                <w:sz w:val="28"/>
                <w:szCs w:val="28"/>
                <w:lang w:val="en-AU"/>
              </w:rPr>
              <w:t>Motions ruled out of order must have the reasons included in the minutes.</w:t>
            </w:r>
          </w:p>
          <w:p w14:paraId="2C7B1247" w14:textId="6BB9C447" w:rsidR="00105349" w:rsidRPr="00105349" w:rsidRDefault="00105349" w:rsidP="00906618">
            <w:pPr>
              <w:rPr>
                <w:sz w:val="28"/>
                <w:szCs w:val="28"/>
              </w:rPr>
            </w:pPr>
          </w:p>
        </w:tc>
        <w:tc>
          <w:tcPr>
            <w:tcW w:w="1842" w:type="dxa"/>
            <w:vAlign w:val="center"/>
          </w:tcPr>
          <w:p w14:paraId="6325C7AA" w14:textId="69C45844" w:rsidR="00105349" w:rsidRPr="00105349" w:rsidRDefault="00105349" w:rsidP="00906618">
            <w:pPr>
              <w:rPr>
                <w:sz w:val="28"/>
                <w:szCs w:val="28"/>
                <w:lang w:val="en-AU"/>
              </w:rPr>
            </w:pPr>
            <w:r w:rsidRPr="00105349">
              <w:rPr>
                <w:sz w:val="28"/>
                <w:szCs w:val="28"/>
                <w:lang w:val="en-AU"/>
              </w:rPr>
              <w:t>SM, AM, CM, SSM</w:t>
            </w:r>
          </w:p>
        </w:tc>
      </w:tr>
      <w:tr w:rsidR="00105349" w:rsidRPr="00105349" w14:paraId="16563DEB" w14:textId="77777777" w:rsidTr="00C2308A">
        <w:trPr>
          <w:trHeight w:val="702"/>
        </w:trPr>
        <w:tc>
          <w:tcPr>
            <w:tcW w:w="2977" w:type="dxa"/>
            <w:vAlign w:val="center"/>
          </w:tcPr>
          <w:p w14:paraId="6359E72D" w14:textId="74C636EB" w:rsidR="00105349" w:rsidRPr="00105349" w:rsidRDefault="00105349" w:rsidP="00906618">
            <w:pPr>
              <w:rPr>
                <w:b/>
                <w:sz w:val="28"/>
                <w:szCs w:val="28"/>
                <w:lang w:val="en-AU"/>
              </w:rPr>
            </w:pPr>
            <w:r w:rsidRPr="00105349">
              <w:rPr>
                <w:b/>
                <w:sz w:val="28"/>
                <w:szCs w:val="28"/>
                <w:lang w:val="en-AU"/>
              </w:rPr>
              <w:t xml:space="preserve">Commissions </w:t>
            </w:r>
          </w:p>
        </w:tc>
        <w:tc>
          <w:tcPr>
            <w:tcW w:w="5954" w:type="dxa"/>
          </w:tcPr>
          <w:p w14:paraId="2BB49EFA" w14:textId="77777777" w:rsidR="00105349" w:rsidRPr="00105349" w:rsidRDefault="00105349" w:rsidP="00906618">
            <w:pPr>
              <w:rPr>
                <w:sz w:val="28"/>
                <w:szCs w:val="28"/>
                <w:lang w:val="en-AU"/>
              </w:rPr>
            </w:pPr>
          </w:p>
          <w:p w14:paraId="5AB021B6" w14:textId="47BFFF5E" w:rsidR="00105349" w:rsidRPr="00105349" w:rsidRDefault="00105349" w:rsidP="00906618">
            <w:pPr>
              <w:rPr>
                <w:sz w:val="28"/>
                <w:szCs w:val="28"/>
                <w:lang w:val="en-AU"/>
              </w:rPr>
            </w:pPr>
            <w:r w:rsidRPr="00105349">
              <w:rPr>
                <w:sz w:val="28"/>
                <w:szCs w:val="28"/>
                <w:lang w:val="en-AU"/>
              </w:rPr>
              <w:t>Body corporate managers have to disclose any commissions received.</w:t>
            </w:r>
          </w:p>
          <w:p w14:paraId="25C2080D" w14:textId="6C141D2C" w:rsidR="00105349" w:rsidRPr="00105349" w:rsidRDefault="00105349" w:rsidP="00906618">
            <w:pPr>
              <w:rPr>
                <w:sz w:val="28"/>
                <w:szCs w:val="28"/>
              </w:rPr>
            </w:pPr>
          </w:p>
        </w:tc>
        <w:tc>
          <w:tcPr>
            <w:tcW w:w="1842" w:type="dxa"/>
            <w:vAlign w:val="center"/>
          </w:tcPr>
          <w:p w14:paraId="0B069386" w14:textId="08790503" w:rsidR="00105349" w:rsidRPr="00105349" w:rsidRDefault="00105349" w:rsidP="00906618">
            <w:pPr>
              <w:rPr>
                <w:sz w:val="28"/>
                <w:szCs w:val="28"/>
                <w:lang w:val="en-AU"/>
              </w:rPr>
            </w:pPr>
            <w:r w:rsidRPr="00105349">
              <w:rPr>
                <w:sz w:val="28"/>
                <w:szCs w:val="28"/>
                <w:lang w:val="en-AU"/>
              </w:rPr>
              <w:t>SM, AM, CM, SSM</w:t>
            </w:r>
          </w:p>
        </w:tc>
      </w:tr>
    </w:tbl>
    <w:p w14:paraId="585933C2" w14:textId="2DEBBFB6" w:rsidR="00105349" w:rsidRPr="00105349" w:rsidRDefault="00105349" w:rsidP="00105349">
      <w:pPr>
        <w:rPr>
          <w:b/>
          <w:sz w:val="32"/>
          <w:szCs w:val="32"/>
        </w:rPr>
      </w:pPr>
    </w:p>
    <w:p w14:paraId="482682E2" w14:textId="0877E2CF" w:rsidR="00105349" w:rsidRDefault="00105349" w:rsidP="00105349">
      <w:pPr>
        <w:rPr>
          <w:b/>
        </w:rPr>
      </w:pPr>
    </w:p>
    <w:p w14:paraId="103FF088" w14:textId="7FFB56F0" w:rsidR="00105349" w:rsidRDefault="00105349" w:rsidP="00105349">
      <w:pPr>
        <w:rPr>
          <w:b/>
        </w:rPr>
      </w:pPr>
    </w:p>
    <w:p w14:paraId="6843249B" w14:textId="77777777" w:rsidR="00105349" w:rsidRPr="00105349" w:rsidRDefault="00105349" w:rsidP="00105349">
      <w:pPr>
        <w:rPr>
          <w:b/>
        </w:rPr>
      </w:pPr>
    </w:p>
    <w:tbl>
      <w:tblPr>
        <w:tblStyle w:val="TableGrid"/>
        <w:tblW w:w="10773" w:type="dxa"/>
        <w:tblLayout w:type="fixed"/>
        <w:tblLook w:val="04A0" w:firstRow="1" w:lastRow="0" w:firstColumn="1" w:lastColumn="0" w:noHBand="0" w:noVBand="1"/>
      </w:tblPr>
      <w:tblGrid>
        <w:gridCol w:w="3119"/>
        <w:gridCol w:w="5812"/>
        <w:gridCol w:w="1842"/>
      </w:tblGrid>
      <w:tr w:rsidR="00105349" w:rsidRPr="00B21661" w14:paraId="5C6FA20B" w14:textId="77777777" w:rsidTr="00C2308A">
        <w:trPr>
          <w:trHeight w:val="602"/>
        </w:trPr>
        <w:tc>
          <w:tcPr>
            <w:tcW w:w="3119" w:type="dxa"/>
            <w:tcBorders>
              <w:top w:val="nil"/>
              <w:left w:val="nil"/>
              <w:bottom w:val="single" w:sz="4" w:space="0" w:color="auto"/>
              <w:right w:val="nil"/>
            </w:tcBorders>
            <w:vAlign w:val="center"/>
          </w:tcPr>
          <w:p w14:paraId="535797BD" w14:textId="72E32341" w:rsidR="00105349" w:rsidRPr="00C2308A" w:rsidRDefault="00105349" w:rsidP="00906618">
            <w:pPr>
              <w:rPr>
                <w:sz w:val="36"/>
                <w:szCs w:val="36"/>
                <w:lang w:val="en-AU"/>
              </w:rPr>
            </w:pPr>
            <w:r w:rsidRPr="00C2308A">
              <w:rPr>
                <w:b/>
                <w:sz w:val="36"/>
                <w:szCs w:val="36"/>
                <w:lang w:val="en-AU"/>
              </w:rPr>
              <w:t>Committees</w:t>
            </w:r>
          </w:p>
        </w:tc>
        <w:tc>
          <w:tcPr>
            <w:tcW w:w="5812" w:type="dxa"/>
            <w:tcBorders>
              <w:top w:val="nil"/>
              <w:left w:val="nil"/>
              <w:right w:val="single" w:sz="4" w:space="0" w:color="auto"/>
            </w:tcBorders>
          </w:tcPr>
          <w:p w14:paraId="54EA9709" w14:textId="77777777" w:rsidR="00105349" w:rsidRPr="00105349" w:rsidRDefault="00105349" w:rsidP="00906618">
            <w:pPr>
              <w:rPr>
                <w:b/>
                <w:bCs/>
              </w:rPr>
            </w:pPr>
          </w:p>
        </w:tc>
        <w:tc>
          <w:tcPr>
            <w:tcW w:w="1842" w:type="dxa"/>
            <w:tcBorders>
              <w:left w:val="single" w:sz="4" w:space="0" w:color="auto"/>
            </w:tcBorders>
            <w:vAlign w:val="center"/>
          </w:tcPr>
          <w:p w14:paraId="62651F53" w14:textId="128A0B92" w:rsidR="00105349" w:rsidRPr="00C2308A" w:rsidRDefault="00105349" w:rsidP="00906618">
            <w:pPr>
              <w:rPr>
                <w:b/>
                <w:bCs/>
                <w:sz w:val="28"/>
                <w:szCs w:val="28"/>
                <w:lang w:val="en-AU"/>
              </w:rPr>
            </w:pPr>
            <w:r w:rsidRPr="00C2308A">
              <w:rPr>
                <w:b/>
                <w:bCs/>
                <w:sz w:val="28"/>
                <w:szCs w:val="28"/>
                <w:lang w:val="en-AU"/>
              </w:rPr>
              <w:t>Module</w:t>
            </w:r>
          </w:p>
        </w:tc>
      </w:tr>
      <w:tr w:rsidR="00105349" w:rsidRPr="00B21661" w14:paraId="069F758B" w14:textId="77777777" w:rsidTr="00C2308A">
        <w:trPr>
          <w:trHeight w:val="698"/>
        </w:trPr>
        <w:tc>
          <w:tcPr>
            <w:tcW w:w="3119" w:type="dxa"/>
            <w:tcBorders>
              <w:top w:val="single" w:sz="4" w:space="0" w:color="auto"/>
            </w:tcBorders>
            <w:vAlign w:val="center"/>
          </w:tcPr>
          <w:p w14:paraId="41A8799B" w14:textId="4D0A0791" w:rsidR="00105349" w:rsidRPr="00C2308A" w:rsidRDefault="00105349" w:rsidP="00906618">
            <w:pPr>
              <w:rPr>
                <w:sz w:val="28"/>
                <w:szCs w:val="28"/>
                <w:lang w:val="en-AU"/>
              </w:rPr>
            </w:pPr>
            <w:r w:rsidRPr="00C2308A">
              <w:rPr>
                <w:b/>
                <w:sz w:val="28"/>
                <w:szCs w:val="28"/>
                <w:lang w:val="en-AU"/>
              </w:rPr>
              <w:t xml:space="preserve">VOCs </w:t>
            </w:r>
          </w:p>
        </w:tc>
        <w:tc>
          <w:tcPr>
            <w:tcW w:w="5812" w:type="dxa"/>
          </w:tcPr>
          <w:p w14:paraId="770D4D90" w14:textId="77777777" w:rsidR="00C2308A" w:rsidRDefault="00C2308A" w:rsidP="00906618">
            <w:pPr>
              <w:rPr>
                <w:sz w:val="28"/>
                <w:szCs w:val="28"/>
                <w:lang w:val="en-AU"/>
              </w:rPr>
            </w:pPr>
          </w:p>
          <w:p w14:paraId="5768AD52" w14:textId="77777777" w:rsidR="00105349" w:rsidRDefault="00105349" w:rsidP="00906618">
            <w:pPr>
              <w:rPr>
                <w:sz w:val="28"/>
                <w:szCs w:val="28"/>
                <w:lang w:val="en-AU"/>
              </w:rPr>
            </w:pPr>
            <w:r w:rsidRPr="00C2308A">
              <w:rPr>
                <w:sz w:val="28"/>
                <w:szCs w:val="28"/>
                <w:lang w:val="en-AU"/>
              </w:rPr>
              <w:t>VOCs must now be decided within 21 days of issue or the motion will expire.</w:t>
            </w:r>
          </w:p>
          <w:p w14:paraId="13544461" w14:textId="54659096" w:rsidR="00C2308A" w:rsidRPr="00C2308A" w:rsidRDefault="00C2308A" w:rsidP="00906618">
            <w:pPr>
              <w:rPr>
                <w:sz w:val="28"/>
                <w:szCs w:val="28"/>
              </w:rPr>
            </w:pPr>
          </w:p>
        </w:tc>
        <w:tc>
          <w:tcPr>
            <w:tcW w:w="1842" w:type="dxa"/>
            <w:vAlign w:val="center"/>
          </w:tcPr>
          <w:p w14:paraId="774E0194" w14:textId="46B11A8C" w:rsidR="00105349" w:rsidRPr="00C2308A" w:rsidRDefault="00105349" w:rsidP="00906618">
            <w:pPr>
              <w:rPr>
                <w:sz w:val="28"/>
                <w:szCs w:val="28"/>
                <w:lang w:val="en-AU"/>
              </w:rPr>
            </w:pPr>
            <w:r w:rsidRPr="00C2308A">
              <w:rPr>
                <w:sz w:val="28"/>
                <w:szCs w:val="28"/>
                <w:lang w:val="en-AU"/>
              </w:rPr>
              <w:t>SM, AM, CM</w:t>
            </w:r>
          </w:p>
        </w:tc>
      </w:tr>
      <w:tr w:rsidR="00105349" w:rsidRPr="00B21661" w14:paraId="05498259" w14:textId="77777777" w:rsidTr="00C2308A">
        <w:trPr>
          <w:trHeight w:val="283"/>
        </w:trPr>
        <w:tc>
          <w:tcPr>
            <w:tcW w:w="3119" w:type="dxa"/>
            <w:vAlign w:val="center"/>
          </w:tcPr>
          <w:p w14:paraId="2E6D02D4" w14:textId="4757C43F" w:rsidR="00105349" w:rsidRPr="00C2308A" w:rsidRDefault="00105349" w:rsidP="00906618">
            <w:pPr>
              <w:rPr>
                <w:sz w:val="28"/>
                <w:szCs w:val="28"/>
                <w:lang w:val="en-AU"/>
              </w:rPr>
            </w:pPr>
            <w:r w:rsidRPr="00C2308A">
              <w:rPr>
                <w:b/>
                <w:sz w:val="28"/>
                <w:szCs w:val="28"/>
                <w:lang w:val="en-AU"/>
              </w:rPr>
              <w:t xml:space="preserve">Insurance </w:t>
            </w:r>
          </w:p>
        </w:tc>
        <w:tc>
          <w:tcPr>
            <w:tcW w:w="5812" w:type="dxa"/>
          </w:tcPr>
          <w:p w14:paraId="20EE3880" w14:textId="77777777" w:rsidR="00C2308A" w:rsidRDefault="00C2308A" w:rsidP="00906618">
            <w:pPr>
              <w:rPr>
                <w:sz w:val="28"/>
                <w:szCs w:val="28"/>
                <w:lang w:val="en-AU"/>
              </w:rPr>
            </w:pPr>
          </w:p>
          <w:p w14:paraId="08733716" w14:textId="6101E655" w:rsidR="00105349" w:rsidRDefault="00105349" w:rsidP="00906618">
            <w:pPr>
              <w:rPr>
                <w:sz w:val="28"/>
                <w:szCs w:val="28"/>
                <w:lang w:val="en-AU"/>
              </w:rPr>
            </w:pPr>
            <w:r w:rsidRPr="00C2308A">
              <w:rPr>
                <w:sz w:val="28"/>
                <w:szCs w:val="28"/>
                <w:lang w:val="en-AU"/>
              </w:rPr>
              <w:t>Insurance renewal is no longer subject to the Committee spending limit.</w:t>
            </w:r>
          </w:p>
          <w:p w14:paraId="1F3863CF" w14:textId="589FE078" w:rsidR="00C2308A" w:rsidRPr="00C2308A" w:rsidRDefault="00C2308A" w:rsidP="00906618">
            <w:pPr>
              <w:rPr>
                <w:sz w:val="28"/>
                <w:szCs w:val="28"/>
              </w:rPr>
            </w:pPr>
          </w:p>
        </w:tc>
        <w:tc>
          <w:tcPr>
            <w:tcW w:w="1842" w:type="dxa"/>
            <w:vAlign w:val="center"/>
          </w:tcPr>
          <w:p w14:paraId="271254BC" w14:textId="22CFF6B6" w:rsidR="00105349" w:rsidRPr="00C2308A" w:rsidRDefault="00105349" w:rsidP="00906618">
            <w:pPr>
              <w:rPr>
                <w:sz w:val="28"/>
                <w:szCs w:val="28"/>
                <w:lang w:val="en-AU"/>
              </w:rPr>
            </w:pPr>
            <w:r w:rsidRPr="00C2308A">
              <w:rPr>
                <w:sz w:val="28"/>
                <w:szCs w:val="28"/>
                <w:lang w:val="en-AU"/>
              </w:rPr>
              <w:t>SM, AM, CM</w:t>
            </w:r>
          </w:p>
        </w:tc>
      </w:tr>
      <w:tr w:rsidR="00105349" w:rsidRPr="00B21661" w14:paraId="0C60B146" w14:textId="77777777" w:rsidTr="00C2308A">
        <w:trPr>
          <w:trHeight w:val="1014"/>
        </w:trPr>
        <w:tc>
          <w:tcPr>
            <w:tcW w:w="3119" w:type="dxa"/>
            <w:vAlign w:val="center"/>
          </w:tcPr>
          <w:p w14:paraId="701A3FD5" w14:textId="1F978B35" w:rsidR="00105349" w:rsidRPr="00C2308A" w:rsidRDefault="00105349" w:rsidP="00906618">
            <w:pPr>
              <w:rPr>
                <w:sz w:val="28"/>
                <w:szCs w:val="28"/>
                <w:lang w:val="en-AU"/>
              </w:rPr>
            </w:pPr>
            <w:r w:rsidRPr="00C2308A">
              <w:rPr>
                <w:b/>
                <w:sz w:val="28"/>
                <w:szCs w:val="28"/>
                <w:lang w:val="en-AU"/>
              </w:rPr>
              <w:t>Financial Status</w:t>
            </w:r>
            <w:r w:rsidRPr="00C2308A">
              <w:rPr>
                <w:sz w:val="28"/>
                <w:szCs w:val="28"/>
                <w:lang w:val="en-AU"/>
              </w:rPr>
              <w:t xml:space="preserve"> </w:t>
            </w:r>
          </w:p>
        </w:tc>
        <w:tc>
          <w:tcPr>
            <w:tcW w:w="5812" w:type="dxa"/>
          </w:tcPr>
          <w:p w14:paraId="37D06C7A" w14:textId="77777777" w:rsidR="00C2308A" w:rsidRDefault="00C2308A" w:rsidP="00906618">
            <w:pPr>
              <w:rPr>
                <w:sz w:val="28"/>
                <w:szCs w:val="28"/>
                <w:lang w:val="en-AU"/>
              </w:rPr>
            </w:pPr>
          </w:p>
          <w:p w14:paraId="099A8DA0" w14:textId="6DFA565F" w:rsidR="00105349" w:rsidRDefault="00105349" w:rsidP="00906618">
            <w:pPr>
              <w:rPr>
                <w:sz w:val="28"/>
                <w:szCs w:val="28"/>
                <w:lang w:val="en-AU"/>
              </w:rPr>
            </w:pPr>
            <w:r w:rsidRPr="00C2308A">
              <w:rPr>
                <w:sz w:val="28"/>
                <w:szCs w:val="28"/>
                <w:lang w:val="en-AU"/>
              </w:rPr>
              <w:t>Committee members (or the lot that nominated them) must now be financial to vote at a Committee meeting. Unfinancial members can attend meetings, and count towards a quorum, but cannot vote.</w:t>
            </w:r>
          </w:p>
          <w:p w14:paraId="7AF9F764" w14:textId="4714F227" w:rsidR="00C2308A" w:rsidRPr="00C2308A" w:rsidRDefault="00C2308A" w:rsidP="00906618">
            <w:pPr>
              <w:rPr>
                <w:sz w:val="28"/>
                <w:szCs w:val="28"/>
              </w:rPr>
            </w:pPr>
          </w:p>
        </w:tc>
        <w:tc>
          <w:tcPr>
            <w:tcW w:w="1842" w:type="dxa"/>
            <w:vAlign w:val="center"/>
          </w:tcPr>
          <w:p w14:paraId="3A0FD4BA" w14:textId="5159BECF" w:rsidR="00105349" w:rsidRPr="00C2308A" w:rsidRDefault="00105349" w:rsidP="00906618">
            <w:pPr>
              <w:rPr>
                <w:sz w:val="28"/>
                <w:szCs w:val="28"/>
                <w:lang w:val="en-AU"/>
              </w:rPr>
            </w:pPr>
            <w:r w:rsidRPr="00C2308A">
              <w:rPr>
                <w:sz w:val="28"/>
                <w:szCs w:val="28"/>
                <w:lang w:val="en-AU"/>
              </w:rPr>
              <w:t>SM, AM, CM</w:t>
            </w:r>
          </w:p>
        </w:tc>
      </w:tr>
      <w:tr w:rsidR="00105349" w:rsidRPr="00B21661" w14:paraId="1B4B35E1" w14:textId="77777777" w:rsidTr="00C2308A">
        <w:trPr>
          <w:trHeight w:val="688"/>
        </w:trPr>
        <w:tc>
          <w:tcPr>
            <w:tcW w:w="3119" w:type="dxa"/>
            <w:vAlign w:val="center"/>
          </w:tcPr>
          <w:p w14:paraId="747D8BC4" w14:textId="4A8175E1" w:rsidR="00105349" w:rsidRPr="00C2308A" w:rsidRDefault="00105349" w:rsidP="00906618">
            <w:pPr>
              <w:rPr>
                <w:sz w:val="28"/>
                <w:szCs w:val="28"/>
                <w:lang w:val="en-AU"/>
              </w:rPr>
            </w:pPr>
            <w:r w:rsidRPr="00C2308A">
              <w:rPr>
                <w:b/>
                <w:sz w:val="28"/>
                <w:szCs w:val="28"/>
                <w:lang w:val="en-AU"/>
              </w:rPr>
              <w:t>Representation</w:t>
            </w:r>
            <w:r w:rsidRPr="00C2308A">
              <w:rPr>
                <w:sz w:val="28"/>
                <w:szCs w:val="28"/>
                <w:lang w:val="en-AU"/>
              </w:rPr>
              <w:t xml:space="preserve"> </w:t>
            </w:r>
          </w:p>
        </w:tc>
        <w:tc>
          <w:tcPr>
            <w:tcW w:w="5812" w:type="dxa"/>
          </w:tcPr>
          <w:p w14:paraId="06F6652D" w14:textId="77777777" w:rsidR="00C2308A" w:rsidRDefault="00C2308A" w:rsidP="00906618">
            <w:pPr>
              <w:rPr>
                <w:sz w:val="28"/>
                <w:szCs w:val="28"/>
                <w:lang w:val="en-AU"/>
              </w:rPr>
            </w:pPr>
          </w:p>
          <w:p w14:paraId="40151970" w14:textId="4D992392" w:rsidR="00105349" w:rsidRDefault="00105349" w:rsidP="00906618">
            <w:pPr>
              <w:rPr>
                <w:sz w:val="28"/>
                <w:szCs w:val="28"/>
                <w:lang w:val="en-AU"/>
              </w:rPr>
            </w:pPr>
            <w:r w:rsidRPr="00C2308A">
              <w:rPr>
                <w:sz w:val="28"/>
                <w:szCs w:val="28"/>
                <w:lang w:val="en-AU"/>
              </w:rPr>
              <w:t>Owners can appoint a representative to attend a Committee meeting on their behalf.</w:t>
            </w:r>
          </w:p>
          <w:p w14:paraId="7FFB1B02" w14:textId="0937E33C" w:rsidR="00C2308A" w:rsidRPr="00C2308A" w:rsidRDefault="00C2308A" w:rsidP="00906618">
            <w:pPr>
              <w:rPr>
                <w:sz w:val="28"/>
                <w:szCs w:val="28"/>
              </w:rPr>
            </w:pPr>
          </w:p>
        </w:tc>
        <w:tc>
          <w:tcPr>
            <w:tcW w:w="1842" w:type="dxa"/>
            <w:vAlign w:val="center"/>
          </w:tcPr>
          <w:p w14:paraId="0F67C708" w14:textId="6294C29E" w:rsidR="00105349" w:rsidRPr="00C2308A" w:rsidRDefault="00105349" w:rsidP="00906618">
            <w:pPr>
              <w:rPr>
                <w:sz w:val="28"/>
                <w:szCs w:val="28"/>
                <w:lang w:val="en-AU"/>
              </w:rPr>
            </w:pPr>
            <w:r w:rsidRPr="00C2308A">
              <w:rPr>
                <w:sz w:val="28"/>
                <w:szCs w:val="28"/>
                <w:lang w:val="en-AU"/>
              </w:rPr>
              <w:t>SM, AM, CM</w:t>
            </w:r>
          </w:p>
        </w:tc>
      </w:tr>
      <w:tr w:rsidR="00105349" w:rsidRPr="00B21661" w14:paraId="2EE28EAE" w14:textId="77777777" w:rsidTr="00C2308A">
        <w:trPr>
          <w:trHeight w:val="996"/>
        </w:trPr>
        <w:tc>
          <w:tcPr>
            <w:tcW w:w="3119" w:type="dxa"/>
            <w:vAlign w:val="center"/>
          </w:tcPr>
          <w:p w14:paraId="2F5EC684" w14:textId="6F2BF466" w:rsidR="00105349" w:rsidRPr="00C2308A" w:rsidRDefault="00105349" w:rsidP="00906618">
            <w:pPr>
              <w:rPr>
                <w:sz w:val="28"/>
                <w:szCs w:val="28"/>
                <w:lang w:val="en-AU"/>
              </w:rPr>
            </w:pPr>
            <w:r w:rsidRPr="00C2308A">
              <w:rPr>
                <w:b/>
                <w:sz w:val="28"/>
                <w:szCs w:val="28"/>
                <w:lang w:val="en-AU"/>
              </w:rPr>
              <w:t>Owner Submissions</w:t>
            </w:r>
            <w:r w:rsidRPr="00C2308A">
              <w:rPr>
                <w:sz w:val="28"/>
                <w:szCs w:val="28"/>
                <w:lang w:val="en-AU"/>
              </w:rPr>
              <w:t xml:space="preserve"> </w:t>
            </w:r>
          </w:p>
        </w:tc>
        <w:tc>
          <w:tcPr>
            <w:tcW w:w="5812" w:type="dxa"/>
          </w:tcPr>
          <w:p w14:paraId="10C37669" w14:textId="77777777" w:rsidR="00C2308A" w:rsidRDefault="00C2308A" w:rsidP="00906618">
            <w:pPr>
              <w:rPr>
                <w:sz w:val="28"/>
                <w:szCs w:val="28"/>
                <w:lang w:val="en-AU"/>
              </w:rPr>
            </w:pPr>
          </w:p>
          <w:p w14:paraId="64F0F37B" w14:textId="35942E5D" w:rsidR="00105349" w:rsidRDefault="00105349" w:rsidP="00906618">
            <w:pPr>
              <w:rPr>
                <w:sz w:val="28"/>
                <w:szCs w:val="28"/>
                <w:lang w:val="en-AU"/>
              </w:rPr>
            </w:pPr>
            <w:r w:rsidRPr="00C2308A">
              <w:rPr>
                <w:sz w:val="28"/>
                <w:szCs w:val="28"/>
                <w:lang w:val="en-AU"/>
              </w:rPr>
              <w:t>The Committee must consider motions submitted by owners within six weeks or provide a reason why. Owners can only make six submissions over a 12-month period.</w:t>
            </w:r>
          </w:p>
          <w:p w14:paraId="6DF3D94E" w14:textId="047DB0B6" w:rsidR="00C2308A" w:rsidRPr="00C2308A" w:rsidRDefault="00C2308A" w:rsidP="00906618">
            <w:pPr>
              <w:rPr>
                <w:sz w:val="28"/>
                <w:szCs w:val="28"/>
              </w:rPr>
            </w:pPr>
          </w:p>
        </w:tc>
        <w:tc>
          <w:tcPr>
            <w:tcW w:w="1842" w:type="dxa"/>
            <w:vAlign w:val="center"/>
          </w:tcPr>
          <w:p w14:paraId="61F27E42" w14:textId="5F482658" w:rsidR="00105349" w:rsidRPr="00C2308A" w:rsidRDefault="00105349" w:rsidP="00906618">
            <w:pPr>
              <w:rPr>
                <w:sz w:val="28"/>
                <w:szCs w:val="28"/>
                <w:lang w:val="en-AU"/>
              </w:rPr>
            </w:pPr>
            <w:r w:rsidRPr="00C2308A">
              <w:rPr>
                <w:sz w:val="28"/>
                <w:szCs w:val="28"/>
                <w:lang w:val="en-AU"/>
              </w:rPr>
              <w:t>SM, AM, CM, SSM</w:t>
            </w:r>
          </w:p>
        </w:tc>
      </w:tr>
      <w:tr w:rsidR="00105349" w:rsidRPr="00B21661" w14:paraId="07118416" w14:textId="77777777" w:rsidTr="00C2308A">
        <w:trPr>
          <w:trHeight w:val="742"/>
        </w:trPr>
        <w:tc>
          <w:tcPr>
            <w:tcW w:w="3119" w:type="dxa"/>
            <w:vAlign w:val="center"/>
          </w:tcPr>
          <w:p w14:paraId="448887D8" w14:textId="463D1384" w:rsidR="00105349" w:rsidRPr="00C2308A" w:rsidRDefault="00105349" w:rsidP="00906618">
            <w:pPr>
              <w:rPr>
                <w:b/>
                <w:sz w:val="28"/>
                <w:szCs w:val="28"/>
              </w:rPr>
            </w:pPr>
            <w:r w:rsidRPr="00C2308A">
              <w:rPr>
                <w:b/>
                <w:sz w:val="28"/>
                <w:szCs w:val="28"/>
              </w:rPr>
              <w:t xml:space="preserve">Benefits </w:t>
            </w:r>
          </w:p>
        </w:tc>
        <w:tc>
          <w:tcPr>
            <w:tcW w:w="5812" w:type="dxa"/>
          </w:tcPr>
          <w:p w14:paraId="311800F3" w14:textId="77777777" w:rsidR="00C2308A" w:rsidRDefault="00C2308A" w:rsidP="00906618">
            <w:pPr>
              <w:rPr>
                <w:sz w:val="28"/>
                <w:szCs w:val="28"/>
              </w:rPr>
            </w:pPr>
          </w:p>
          <w:p w14:paraId="0D0165F1" w14:textId="77777777" w:rsidR="00105349" w:rsidRDefault="00105349" w:rsidP="00906618">
            <w:pPr>
              <w:rPr>
                <w:sz w:val="28"/>
                <w:szCs w:val="28"/>
              </w:rPr>
            </w:pPr>
            <w:r w:rsidRPr="00C2308A">
              <w:rPr>
                <w:sz w:val="28"/>
                <w:szCs w:val="28"/>
              </w:rPr>
              <w:t>A committee member must not receive a benefit from a service contractor without General Meeting approval.</w:t>
            </w:r>
          </w:p>
          <w:p w14:paraId="5C8E175D" w14:textId="00E930CA" w:rsidR="00C2308A" w:rsidRPr="00C2308A" w:rsidRDefault="00C2308A" w:rsidP="00906618">
            <w:pPr>
              <w:rPr>
                <w:sz w:val="28"/>
                <w:szCs w:val="28"/>
              </w:rPr>
            </w:pPr>
          </w:p>
        </w:tc>
        <w:tc>
          <w:tcPr>
            <w:tcW w:w="1842" w:type="dxa"/>
            <w:vAlign w:val="center"/>
          </w:tcPr>
          <w:p w14:paraId="44D0531E" w14:textId="3EE46F49" w:rsidR="00105349" w:rsidRPr="00C2308A" w:rsidRDefault="00105349" w:rsidP="00906618">
            <w:pPr>
              <w:rPr>
                <w:sz w:val="28"/>
                <w:szCs w:val="28"/>
                <w:lang w:val="en-AU"/>
              </w:rPr>
            </w:pPr>
            <w:r w:rsidRPr="00C2308A">
              <w:rPr>
                <w:sz w:val="28"/>
                <w:szCs w:val="28"/>
                <w:lang w:val="en-AU"/>
              </w:rPr>
              <w:t>SM, AM, CM, SSM</w:t>
            </w:r>
          </w:p>
        </w:tc>
      </w:tr>
      <w:tr w:rsidR="00105349" w:rsidRPr="00B21661" w14:paraId="09618E0E" w14:textId="77777777" w:rsidTr="00C2308A">
        <w:trPr>
          <w:trHeight w:val="710"/>
        </w:trPr>
        <w:tc>
          <w:tcPr>
            <w:tcW w:w="3119" w:type="dxa"/>
            <w:vAlign w:val="center"/>
          </w:tcPr>
          <w:p w14:paraId="4604FFD5" w14:textId="4273039A" w:rsidR="00105349" w:rsidRPr="00C2308A" w:rsidRDefault="00105349" w:rsidP="00906618">
            <w:pPr>
              <w:rPr>
                <w:sz w:val="28"/>
                <w:szCs w:val="28"/>
                <w:lang w:val="en-AU"/>
              </w:rPr>
            </w:pPr>
            <w:r w:rsidRPr="00C2308A">
              <w:rPr>
                <w:b/>
                <w:sz w:val="28"/>
                <w:szCs w:val="28"/>
              </w:rPr>
              <w:t>Co-Owners</w:t>
            </w:r>
            <w:r w:rsidRPr="00C2308A">
              <w:rPr>
                <w:sz w:val="28"/>
                <w:szCs w:val="28"/>
              </w:rPr>
              <w:t xml:space="preserve"> </w:t>
            </w:r>
          </w:p>
        </w:tc>
        <w:tc>
          <w:tcPr>
            <w:tcW w:w="5812" w:type="dxa"/>
          </w:tcPr>
          <w:p w14:paraId="51C43760" w14:textId="77777777" w:rsidR="00C2308A" w:rsidRDefault="00C2308A" w:rsidP="00906618">
            <w:pPr>
              <w:rPr>
                <w:sz w:val="28"/>
                <w:szCs w:val="28"/>
              </w:rPr>
            </w:pPr>
          </w:p>
          <w:p w14:paraId="1027C6CA" w14:textId="09B076A4" w:rsidR="00105349" w:rsidRDefault="00105349" w:rsidP="00906618">
            <w:pPr>
              <w:rPr>
                <w:sz w:val="28"/>
                <w:szCs w:val="28"/>
              </w:rPr>
            </w:pPr>
            <w:r w:rsidRPr="00C2308A">
              <w:rPr>
                <w:sz w:val="28"/>
                <w:szCs w:val="28"/>
              </w:rPr>
              <w:t>Co-owners of more than one lot can nominate for multiple Committee positions for each lot they own.</w:t>
            </w:r>
          </w:p>
          <w:p w14:paraId="2AB96EDB" w14:textId="0AB9ACD3" w:rsidR="00C2308A" w:rsidRPr="00C2308A" w:rsidRDefault="00C2308A" w:rsidP="00906618">
            <w:pPr>
              <w:rPr>
                <w:sz w:val="28"/>
                <w:szCs w:val="28"/>
              </w:rPr>
            </w:pPr>
          </w:p>
        </w:tc>
        <w:tc>
          <w:tcPr>
            <w:tcW w:w="1842" w:type="dxa"/>
            <w:vAlign w:val="center"/>
          </w:tcPr>
          <w:p w14:paraId="48D75EED" w14:textId="52232E70" w:rsidR="00105349" w:rsidRPr="00C2308A" w:rsidRDefault="00105349" w:rsidP="00906618">
            <w:pPr>
              <w:rPr>
                <w:sz w:val="28"/>
                <w:szCs w:val="28"/>
                <w:lang w:val="en-AU"/>
              </w:rPr>
            </w:pPr>
            <w:r w:rsidRPr="00C2308A">
              <w:rPr>
                <w:sz w:val="28"/>
                <w:szCs w:val="28"/>
                <w:lang w:val="en-AU"/>
              </w:rPr>
              <w:t>SM, AM, SSM</w:t>
            </w:r>
          </w:p>
        </w:tc>
      </w:tr>
    </w:tbl>
    <w:p w14:paraId="24F59F70" w14:textId="3C8C0C66" w:rsidR="00105349" w:rsidRPr="00B426C6" w:rsidRDefault="00105349" w:rsidP="00B426C6">
      <w:pPr>
        <w:rPr>
          <w:b/>
          <w:sz w:val="28"/>
          <w:szCs w:val="24"/>
        </w:rPr>
      </w:pPr>
      <w:r w:rsidRPr="00B426C6">
        <w:rPr>
          <w:sz w:val="40"/>
          <w:szCs w:val="40"/>
        </w:rPr>
        <w:br/>
      </w:r>
      <w:r w:rsidR="00B426C6" w:rsidRPr="00B426C6">
        <w:rPr>
          <w:b/>
          <w:sz w:val="28"/>
          <w:szCs w:val="24"/>
        </w:rPr>
        <w:t>Tower Body Corporate</w:t>
      </w:r>
    </w:p>
    <w:p w14:paraId="63C46F4F" w14:textId="60144386" w:rsidR="00B426C6" w:rsidRDefault="00B426C6" w:rsidP="00B426C6">
      <w:pPr>
        <w:rPr>
          <w:sz w:val="28"/>
          <w:szCs w:val="24"/>
        </w:rPr>
      </w:pPr>
      <w:hyperlink r:id="rId5" w:history="1">
        <w:r w:rsidRPr="00B426C6">
          <w:rPr>
            <w:rStyle w:val="Hyperlink"/>
            <w:sz w:val="28"/>
            <w:szCs w:val="24"/>
          </w:rPr>
          <w:t>https://towerbodycorporate.com.au/</w:t>
        </w:r>
      </w:hyperlink>
    </w:p>
    <w:p w14:paraId="046F67FD" w14:textId="2AC21D84" w:rsidR="00B426C6" w:rsidRDefault="00B426C6" w:rsidP="00B426C6">
      <w:pPr>
        <w:rPr>
          <w:sz w:val="28"/>
          <w:szCs w:val="24"/>
        </w:rPr>
      </w:pPr>
      <w:hyperlink r:id="rId6" w:history="1">
        <w:r w:rsidRPr="00B426C6">
          <w:rPr>
            <w:rStyle w:val="Hyperlink"/>
            <w:sz w:val="28"/>
            <w:szCs w:val="24"/>
          </w:rPr>
          <w:t>info</w:t>
        </w:r>
        <w:r w:rsidRPr="00B426C6">
          <w:rPr>
            <w:rStyle w:val="Hyperlink"/>
            <w:sz w:val="28"/>
            <w:szCs w:val="24"/>
          </w:rPr>
          <w:t>@towerbodycorporate.com.au</w:t>
        </w:r>
      </w:hyperlink>
    </w:p>
    <w:p w14:paraId="73F32518" w14:textId="17BC84CB" w:rsidR="00B426C6" w:rsidRPr="00B426C6" w:rsidRDefault="00B426C6" w:rsidP="00B426C6">
      <w:pPr>
        <w:rPr>
          <w:sz w:val="44"/>
          <w:szCs w:val="40"/>
        </w:rPr>
      </w:pPr>
      <w:r w:rsidRPr="00B426C6">
        <w:rPr>
          <w:rFonts w:ascii="Consolas" w:hAnsi="Consolas"/>
          <w:color w:val="222222"/>
          <w:sz w:val="28"/>
          <w:szCs w:val="28"/>
          <w:shd w:val="clear" w:color="auto" w:fill="FFFFFF"/>
        </w:rPr>
        <w:t>07 5609 4924</w:t>
      </w:r>
    </w:p>
    <w:sectPr w:rsidR="00B426C6" w:rsidRPr="00B426C6" w:rsidSect="00105349">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49"/>
    <w:rsid w:val="00105349"/>
    <w:rsid w:val="005E09B6"/>
    <w:rsid w:val="00B426C6"/>
    <w:rsid w:val="00C23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E2B8"/>
  <w15:chartTrackingRefBased/>
  <w15:docId w15:val="{8DA82668-3B8F-4E6C-814F-3A71B51B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3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349"/>
    <w:rPr>
      <w:color w:val="0563C1" w:themeColor="hyperlink"/>
      <w:u w:val="single"/>
    </w:rPr>
  </w:style>
  <w:style w:type="character" w:styleId="UnresolvedMention">
    <w:name w:val="Unresolved Mention"/>
    <w:basedOn w:val="DefaultParagraphFont"/>
    <w:uiPriority w:val="99"/>
    <w:semiHidden/>
    <w:unhideWhenUsed/>
    <w:rsid w:val="00B4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575093">
      <w:bodyDiv w:val="1"/>
      <w:marLeft w:val="0"/>
      <w:marRight w:val="0"/>
      <w:marTop w:val="0"/>
      <w:marBottom w:val="0"/>
      <w:divBdr>
        <w:top w:val="none" w:sz="0" w:space="0" w:color="auto"/>
        <w:left w:val="none" w:sz="0" w:space="0" w:color="auto"/>
        <w:bottom w:val="none" w:sz="0" w:space="0" w:color="auto"/>
        <w:right w:val="none" w:sz="0" w:space="0" w:color="auto"/>
      </w:divBdr>
      <w:divsChild>
        <w:div w:id="892539280">
          <w:marLeft w:val="60"/>
          <w:marRight w:val="0"/>
          <w:marTop w:val="0"/>
          <w:marBottom w:val="0"/>
          <w:divBdr>
            <w:top w:val="none" w:sz="0" w:space="0" w:color="auto"/>
            <w:left w:val="none" w:sz="0" w:space="0" w:color="auto"/>
            <w:bottom w:val="none" w:sz="0" w:space="0" w:color="auto"/>
            <w:right w:val="none" w:sz="0" w:space="0" w:color="auto"/>
          </w:divBdr>
          <w:divsChild>
            <w:div w:id="1434207095">
              <w:marLeft w:val="0"/>
              <w:marRight w:val="0"/>
              <w:marTop w:val="0"/>
              <w:marBottom w:val="0"/>
              <w:divBdr>
                <w:top w:val="none" w:sz="0" w:space="0" w:color="auto"/>
                <w:left w:val="none" w:sz="0" w:space="0" w:color="auto"/>
                <w:bottom w:val="none" w:sz="0" w:space="0" w:color="auto"/>
                <w:right w:val="none" w:sz="0" w:space="0" w:color="auto"/>
              </w:divBdr>
              <w:divsChild>
                <w:div w:id="59698616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nfo@towerbodycorporate.com.au" TargetMode="External"/><Relationship Id="rId5" Type="http://schemas.openxmlformats.org/officeDocument/2006/relationships/hyperlink" Target="https://towerbodycorporate.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Jovicic</dc:creator>
  <cp:keywords/>
  <dc:description/>
  <cp:lastModifiedBy>Eliza Jovicic</cp:lastModifiedBy>
  <cp:revision>2</cp:revision>
  <dcterms:created xsi:type="dcterms:W3CDTF">2021-02-22T04:03:00Z</dcterms:created>
  <dcterms:modified xsi:type="dcterms:W3CDTF">2021-02-22T04:27:00Z</dcterms:modified>
</cp:coreProperties>
</file>